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2D" w:rsidRDefault="00A77B14" w:rsidP="00E84F2D">
      <w:pPr>
        <w:spacing w:after="0"/>
        <w:rPr>
          <w:szCs w:val="24"/>
        </w:rPr>
      </w:pPr>
      <w:r>
        <w:rPr>
          <w:noProof/>
          <w:szCs w:val="24"/>
          <w:lang w:eastAsia="en-GB"/>
        </w:rPr>
        <w:pict>
          <v:shapetype id="_x0000_t202" coordsize="21600,21600" o:spt="202" path="m,l,21600r21600,l21600,xe">
            <v:stroke joinstyle="miter"/>
            <v:path gradientshapeok="t" o:connecttype="rect"/>
          </v:shapetype>
          <v:shape id="_x0000_s1026" type="#_x0000_t202" style="position:absolute;margin-left:475.8pt;margin-top:-57pt;width:32.4pt;height:33.6pt;z-index:251658240" stroked="f">
            <v:textbox>
              <w:txbxContent>
                <w:p w:rsidR="00A77B14" w:rsidRPr="00A77B14" w:rsidRDefault="00A77B14">
                  <w:pPr>
                    <w:rPr>
                      <w:b w:val="0"/>
                      <w:sz w:val="44"/>
                      <w:szCs w:val="44"/>
                    </w:rPr>
                  </w:pPr>
                  <w:r w:rsidRPr="00A77B14">
                    <w:rPr>
                      <w:b w:val="0"/>
                      <w:sz w:val="44"/>
                      <w:szCs w:val="44"/>
                    </w:rPr>
                    <w:t>A</w:t>
                  </w:r>
                </w:p>
              </w:txbxContent>
            </v:textbox>
          </v:shape>
        </w:pict>
      </w:r>
      <w:r w:rsidR="00997DC0">
        <w:rPr>
          <w:szCs w:val="24"/>
        </w:rPr>
        <w:t>Burnley 3 Tier Forum</w:t>
      </w:r>
    </w:p>
    <w:p w:rsidR="00997DC0" w:rsidRDefault="00997DC0" w:rsidP="00E84F2D">
      <w:pPr>
        <w:spacing w:after="0"/>
        <w:rPr>
          <w:szCs w:val="24"/>
        </w:rPr>
      </w:pPr>
      <w:r>
        <w:rPr>
          <w:szCs w:val="24"/>
        </w:rPr>
        <w:t>25</w:t>
      </w:r>
      <w:r w:rsidRPr="00997DC0">
        <w:rPr>
          <w:szCs w:val="24"/>
          <w:vertAlign w:val="superscript"/>
        </w:rPr>
        <w:t>th</w:t>
      </w:r>
      <w:r>
        <w:rPr>
          <w:szCs w:val="24"/>
        </w:rPr>
        <w:t xml:space="preserve"> November 2013</w:t>
      </w:r>
    </w:p>
    <w:p w:rsidR="00997DC0" w:rsidRDefault="00997DC0">
      <w:pPr>
        <w:rPr>
          <w:szCs w:val="24"/>
        </w:rPr>
      </w:pPr>
      <w:bookmarkStart w:id="0" w:name="_GoBack"/>
      <w:bookmarkEnd w:id="0"/>
    </w:p>
    <w:p w:rsidR="00E550F7" w:rsidRPr="001C56EB" w:rsidRDefault="004B537E">
      <w:pPr>
        <w:rPr>
          <w:szCs w:val="24"/>
        </w:rPr>
      </w:pPr>
      <w:r w:rsidRPr="001C56EB">
        <w:rPr>
          <w:szCs w:val="24"/>
        </w:rPr>
        <w:t>Primary Schools</w:t>
      </w:r>
      <w:r w:rsidR="00EE24FD" w:rsidRPr="001C56EB">
        <w:rPr>
          <w:szCs w:val="24"/>
        </w:rPr>
        <w:t xml:space="preserve"> </w:t>
      </w:r>
      <w:r w:rsidR="00E550F7" w:rsidRPr="001C56EB">
        <w:rPr>
          <w:szCs w:val="24"/>
        </w:rPr>
        <w:t>–</w:t>
      </w:r>
      <w:r w:rsidR="00EE24FD" w:rsidRPr="001C56EB">
        <w:rPr>
          <w:szCs w:val="24"/>
        </w:rPr>
        <w:t xml:space="preserve"> </w:t>
      </w:r>
      <w:r w:rsidR="00E550F7" w:rsidRPr="001C56EB">
        <w:rPr>
          <w:szCs w:val="24"/>
        </w:rPr>
        <w:t>Base Data -</w:t>
      </w:r>
      <w:r w:rsidRPr="001C56EB">
        <w:rPr>
          <w:szCs w:val="24"/>
        </w:rPr>
        <w:t>May 2013 School Census</w:t>
      </w:r>
      <w:r w:rsidR="00EE24FD" w:rsidRPr="001C56EB">
        <w:rPr>
          <w:szCs w:val="24"/>
        </w:rPr>
        <w:t xml:space="preserve"> </w:t>
      </w:r>
    </w:p>
    <w:p w:rsidR="00E550F7" w:rsidRDefault="00E550F7">
      <w:pPr>
        <w:rPr>
          <w:b w:val="0"/>
          <w:szCs w:val="24"/>
        </w:rPr>
      </w:pPr>
      <w:r w:rsidRPr="001C56EB">
        <w:rPr>
          <w:b w:val="0"/>
          <w:szCs w:val="24"/>
        </w:rPr>
        <w:t xml:space="preserve">The following gives the current position and five year forecast (based upon current numbers on roll, average intake rates and live birth data. They are adjusted to take into account migration rates and new housing expected to come forward within 5 years, as per 5 </w:t>
      </w:r>
      <w:proofErr w:type="spellStart"/>
      <w:r w:rsidRPr="001C56EB">
        <w:rPr>
          <w:b w:val="0"/>
          <w:szCs w:val="24"/>
        </w:rPr>
        <w:t>yr</w:t>
      </w:r>
      <w:proofErr w:type="spellEnd"/>
      <w:r w:rsidRPr="001C56EB">
        <w:rPr>
          <w:b w:val="0"/>
          <w:szCs w:val="24"/>
        </w:rPr>
        <w:t xml:space="preserve"> Housing Land Supply).</w:t>
      </w:r>
    </w:p>
    <w:p w:rsidR="00E84F2D" w:rsidRPr="001C56EB" w:rsidRDefault="00E84F2D">
      <w:pPr>
        <w:rPr>
          <w:b w:val="0"/>
          <w:szCs w:val="24"/>
        </w:rPr>
      </w:pPr>
    </w:p>
    <w:tbl>
      <w:tblPr>
        <w:tblStyle w:val="TableGrid"/>
        <w:tblW w:w="10065" w:type="dxa"/>
        <w:tblInd w:w="-176" w:type="dxa"/>
        <w:tblLook w:val="04A0" w:firstRow="1" w:lastRow="0" w:firstColumn="1" w:lastColumn="0" w:noHBand="0" w:noVBand="1"/>
      </w:tblPr>
      <w:tblGrid>
        <w:gridCol w:w="1323"/>
        <w:gridCol w:w="1123"/>
        <w:gridCol w:w="1099"/>
        <w:gridCol w:w="1766"/>
        <w:gridCol w:w="1352"/>
        <w:gridCol w:w="992"/>
        <w:gridCol w:w="2410"/>
      </w:tblGrid>
      <w:tr w:rsidR="00EE24FD" w:rsidRPr="001C56EB" w:rsidTr="00E84F2D">
        <w:tc>
          <w:tcPr>
            <w:tcW w:w="1323" w:type="dxa"/>
          </w:tcPr>
          <w:p w:rsidR="00EE24FD" w:rsidRPr="001C56EB" w:rsidRDefault="00EE24FD" w:rsidP="004B537E">
            <w:pPr>
              <w:rPr>
                <w:szCs w:val="24"/>
              </w:rPr>
            </w:pPr>
            <w:r w:rsidRPr="001C56EB">
              <w:rPr>
                <w:szCs w:val="24"/>
              </w:rPr>
              <w:t>DISTRICT</w:t>
            </w:r>
          </w:p>
        </w:tc>
        <w:tc>
          <w:tcPr>
            <w:tcW w:w="1123" w:type="dxa"/>
          </w:tcPr>
          <w:p w:rsidR="00EE24FD" w:rsidRPr="001C56EB" w:rsidRDefault="00EE24FD" w:rsidP="00EE24FD">
            <w:pPr>
              <w:rPr>
                <w:szCs w:val="24"/>
              </w:rPr>
            </w:pPr>
            <w:r w:rsidRPr="001C56EB">
              <w:rPr>
                <w:szCs w:val="24"/>
              </w:rPr>
              <w:t>Number of schools</w:t>
            </w:r>
          </w:p>
        </w:tc>
        <w:tc>
          <w:tcPr>
            <w:tcW w:w="1099" w:type="dxa"/>
          </w:tcPr>
          <w:p w:rsidR="00EE24FD" w:rsidRPr="001C56EB" w:rsidRDefault="00EE24FD">
            <w:pPr>
              <w:rPr>
                <w:szCs w:val="24"/>
              </w:rPr>
            </w:pPr>
            <w:r w:rsidRPr="001C56EB">
              <w:rPr>
                <w:szCs w:val="24"/>
              </w:rPr>
              <w:t>DATE</w:t>
            </w:r>
          </w:p>
        </w:tc>
        <w:tc>
          <w:tcPr>
            <w:tcW w:w="1766" w:type="dxa"/>
          </w:tcPr>
          <w:p w:rsidR="00EE24FD" w:rsidRPr="001C56EB" w:rsidRDefault="00EE24FD">
            <w:pPr>
              <w:rPr>
                <w:szCs w:val="24"/>
              </w:rPr>
            </w:pPr>
            <w:r w:rsidRPr="001C56EB">
              <w:rPr>
                <w:szCs w:val="24"/>
              </w:rPr>
              <w:t>PAN</w:t>
            </w:r>
            <w:r w:rsidR="00E550F7" w:rsidRPr="001C56EB">
              <w:rPr>
                <w:szCs w:val="24"/>
              </w:rPr>
              <w:t xml:space="preserve"> (admission number)</w:t>
            </w:r>
          </w:p>
        </w:tc>
        <w:tc>
          <w:tcPr>
            <w:tcW w:w="1352" w:type="dxa"/>
          </w:tcPr>
          <w:p w:rsidR="00EE24FD" w:rsidRPr="001C56EB" w:rsidRDefault="00EE24FD">
            <w:pPr>
              <w:rPr>
                <w:szCs w:val="24"/>
              </w:rPr>
            </w:pPr>
            <w:r w:rsidRPr="001C56EB">
              <w:rPr>
                <w:szCs w:val="24"/>
              </w:rPr>
              <w:t>Total Net Capacity</w:t>
            </w:r>
          </w:p>
        </w:tc>
        <w:tc>
          <w:tcPr>
            <w:tcW w:w="992" w:type="dxa"/>
          </w:tcPr>
          <w:p w:rsidR="00EE24FD" w:rsidRPr="001C56EB" w:rsidRDefault="00EE24FD">
            <w:pPr>
              <w:rPr>
                <w:szCs w:val="24"/>
              </w:rPr>
            </w:pPr>
            <w:r w:rsidRPr="001C56EB">
              <w:rPr>
                <w:szCs w:val="24"/>
              </w:rPr>
              <w:t>Total on Roll</w:t>
            </w:r>
          </w:p>
        </w:tc>
        <w:tc>
          <w:tcPr>
            <w:tcW w:w="2410" w:type="dxa"/>
          </w:tcPr>
          <w:p w:rsidR="00EE24FD" w:rsidRPr="001C56EB" w:rsidRDefault="00EE24FD" w:rsidP="004B537E">
            <w:pPr>
              <w:rPr>
                <w:szCs w:val="24"/>
              </w:rPr>
            </w:pPr>
            <w:r w:rsidRPr="001C56EB">
              <w:rPr>
                <w:szCs w:val="24"/>
              </w:rPr>
              <w:t>Over/Under Capacity by area</w:t>
            </w:r>
          </w:p>
        </w:tc>
      </w:tr>
      <w:tr w:rsidR="00A61BA5" w:rsidRPr="001C56EB" w:rsidTr="00E84F2D">
        <w:tc>
          <w:tcPr>
            <w:tcW w:w="1323" w:type="dxa"/>
          </w:tcPr>
          <w:p w:rsidR="00A61BA5" w:rsidRPr="001C56EB" w:rsidRDefault="00A61BA5" w:rsidP="004B537E">
            <w:pPr>
              <w:rPr>
                <w:szCs w:val="24"/>
              </w:rPr>
            </w:pPr>
          </w:p>
        </w:tc>
        <w:tc>
          <w:tcPr>
            <w:tcW w:w="1123" w:type="dxa"/>
          </w:tcPr>
          <w:p w:rsidR="00A61BA5" w:rsidRPr="001C56EB" w:rsidRDefault="00A61BA5" w:rsidP="00EE24FD">
            <w:pPr>
              <w:rPr>
                <w:szCs w:val="24"/>
              </w:rPr>
            </w:pPr>
          </w:p>
        </w:tc>
        <w:tc>
          <w:tcPr>
            <w:tcW w:w="1099" w:type="dxa"/>
          </w:tcPr>
          <w:p w:rsidR="00A61BA5" w:rsidRPr="001C56EB" w:rsidRDefault="00A61BA5">
            <w:pPr>
              <w:rPr>
                <w:szCs w:val="24"/>
              </w:rPr>
            </w:pPr>
          </w:p>
        </w:tc>
        <w:tc>
          <w:tcPr>
            <w:tcW w:w="1766" w:type="dxa"/>
          </w:tcPr>
          <w:p w:rsidR="00A61BA5" w:rsidRPr="001C56EB" w:rsidRDefault="00A61BA5">
            <w:pPr>
              <w:rPr>
                <w:szCs w:val="24"/>
              </w:rPr>
            </w:pPr>
          </w:p>
        </w:tc>
        <w:tc>
          <w:tcPr>
            <w:tcW w:w="1352" w:type="dxa"/>
          </w:tcPr>
          <w:p w:rsidR="00A61BA5" w:rsidRPr="001C56EB" w:rsidRDefault="00A61BA5">
            <w:pPr>
              <w:rPr>
                <w:szCs w:val="24"/>
              </w:rPr>
            </w:pPr>
          </w:p>
        </w:tc>
        <w:tc>
          <w:tcPr>
            <w:tcW w:w="992" w:type="dxa"/>
          </w:tcPr>
          <w:p w:rsidR="00A61BA5" w:rsidRPr="001C56EB" w:rsidRDefault="00A61BA5">
            <w:pPr>
              <w:rPr>
                <w:szCs w:val="24"/>
              </w:rPr>
            </w:pPr>
          </w:p>
        </w:tc>
        <w:tc>
          <w:tcPr>
            <w:tcW w:w="2410" w:type="dxa"/>
          </w:tcPr>
          <w:p w:rsidR="00A61BA5" w:rsidRPr="001C56EB" w:rsidRDefault="00A61BA5" w:rsidP="004B537E">
            <w:pPr>
              <w:rPr>
                <w:szCs w:val="24"/>
              </w:rPr>
            </w:pPr>
          </w:p>
        </w:tc>
      </w:tr>
      <w:tr w:rsidR="00EE24FD" w:rsidRPr="001C56EB" w:rsidTr="00E84F2D">
        <w:tc>
          <w:tcPr>
            <w:tcW w:w="1323" w:type="dxa"/>
          </w:tcPr>
          <w:p w:rsidR="00EE24FD" w:rsidRPr="001C56EB" w:rsidRDefault="00A61BA5" w:rsidP="00A61BA5">
            <w:pPr>
              <w:rPr>
                <w:szCs w:val="24"/>
              </w:rPr>
            </w:pPr>
            <w:r w:rsidRPr="001C56EB">
              <w:rPr>
                <w:szCs w:val="24"/>
              </w:rPr>
              <w:t>Burnley</w:t>
            </w:r>
          </w:p>
        </w:tc>
        <w:tc>
          <w:tcPr>
            <w:tcW w:w="1123" w:type="dxa"/>
          </w:tcPr>
          <w:p w:rsidR="00EE24FD" w:rsidRPr="001C56EB" w:rsidRDefault="00A61BA5" w:rsidP="00426982">
            <w:pPr>
              <w:rPr>
                <w:szCs w:val="24"/>
              </w:rPr>
            </w:pPr>
            <w:r w:rsidRPr="001C56EB">
              <w:rPr>
                <w:szCs w:val="24"/>
              </w:rPr>
              <w:t>21</w:t>
            </w:r>
          </w:p>
        </w:tc>
        <w:tc>
          <w:tcPr>
            <w:tcW w:w="1099" w:type="dxa"/>
          </w:tcPr>
          <w:p w:rsidR="00EE24FD" w:rsidRPr="001C56EB" w:rsidRDefault="00EE24FD" w:rsidP="00426982">
            <w:pPr>
              <w:rPr>
                <w:szCs w:val="24"/>
              </w:rPr>
            </w:pPr>
            <w:r w:rsidRPr="001C56EB">
              <w:rPr>
                <w:szCs w:val="24"/>
              </w:rPr>
              <w:t>May 2013</w:t>
            </w:r>
          </w:p>
        </w:tc>
        <w:tc>
          <w:tcPr>
            <w:tcW w:w="1766" w:type="dxa"/>
          </w:tcPr>
          <w:p w:rsidR="00EE24FD" w:rsidRPr="001C56EB" w:rsidRDefault="00A61BA5">
            <w:pPr>
              <w:rPr>
                <w:szCs w:val="24"/>
              </w:rPr>
            </w:pPr>
            <w:r w:rsidRPr="001C56EB">
              <w:rPr>
                <w:szCs w:val="24"/>
              </w:rPr>
              <w:t>985</w:t>
            </w:r>
          </w:p>
        </w:tc>
        <w:tc>
          <w:tcPr>
            <w:tcW w:w="1352" w:type="dxa"/>
          </w:tcPr>
          <w:p w:rsidR="00EE24FD" w:rsidRPr="001C56EB" w:rsidRDefault="000211D9">
            <w:pPr>
              <w:rPr>
                <w:szCs w:val="24"/>
              </w:rPr>
            </w:pPr>
            <w:r w:rsidRPr="001C56EB">
              <w:rPr>
                <w:szCs w:val="24"/>
              </w:rPr>
              <w:t>6,740</w:t>
            </w:r>
          </w:p>
        </w:tc>
        <w:tc>
          <w:tcPr>
            <w:tcW w:w="992" w:type="dxa"/>
          </w:tcPr>
          <w:p w:rsidR="00EE24FD" w:rsidRPr="001C56EB" w:rsidRDefault="000211D9">
            <w:pPr>
              <w:rPr>
                <w:szCs w:val="24"/>
              </w:rPr>
            </w:pPr>
            <w:r w:rsidRPr="001C56EB">
              <w:rPr>
                <w:szCs w:val="24"/>
              </w:rPr>
              <w:t>6,014</w:t>
            </w:r>
          </w:p>
        </w:tc>
        <w:tc>
          <w:tcPr>
            <w:tcW w:w="2410" w:type="dxa"/>
          </w:tcPr>
          <w:p w:rsidR="00EE24FD" w:rsidRPr="001C56EB" w:rsidRDefault="000211D9">
            <w:pPr>
              <w:rPr>
                <w:szCs w:val="24"/>
              </w:rPr>
            </w:pPr>
            <w:r w:rsidRPr="001C56EB">
              <w:rPr>
                <w:szCs w:val="24"/>
              </w:rPr>
              <w:t>72</w:t>
            </w:r>
            <w:r w:rsidR="00EE24FD" w:rsidRPr="001C56EB">
              <w:rPr>
                <w:szCs w:val="24"/>
              </w:rPr>
              <w:t>6 surplus places</w:t>
            </w:r>
          </w:p>
        </w:tc>
      </w:tr>
      <w:tr w:rsidR="00EE24FD" w:rsidRPr="001C56EB" w:rsidTr="00E84F2D">
        <w:tc>
          <w:tcPr>
            <w:tcW w:w="1323" w:type="dxa"/>
          </w:tcPr>
          <w:p w:rsidR="00EE24FD" w:rsidRPr="001C56EB" w:rsidRDefault="00EE24FD">
            <w:pPr>
              <w:rPr>
                <w:szCs w:val="24"/>
              </w:rPr>
            </w:pPr>
          </w:p>
        </w:tc>
        <w:tc>
          <w:tcPr>
            <w:tcW w:w="1123" w:type="dxa"/>
          </w:tcPr>
          <w:p w:rsidR="00EE24FD" w:rsidRPr="001C56EB" w:rsidRDefault="00A61BA5">
            <w:pPr>
              <w:rPr>
                <w:szCs w:val="24"/>
              </w:rPr>
            </w:pPr>
            <w:r w:rsidRPr="001C56EB">
              <w:rPr>
                <w:szCs w:val="24"/>
              </w:rPr>
              <w:t>21</w:t>
            </w:r>
          </w:p>
        </w:tc>
        <w:tc>
          <w:tcPr>
            <w:tcW w:w="1099" w:type="dxa"/>
          </w:tcPr>
          <w:p w:rsidR="00EE24FD" w:rsidRPr="001C56EB" w:rsidRDefault="00EE24FD">
            <w:pPr>
              <w:rPr>
                <w:szCs w:val="24"/>
              </w:rPr>
            </w:pPr>
            <w:r w:rsidRPr="001C56EB">
              <w:rPr>
                <w:szCs w:val="24"/>
              </w:rPr>
              <w:t xml:space="preserve">Jan </w:t>
            </w:r>
          </w:p>
          <w:p w:rsidR="00EE24FD" w:rsidRPr="001C56EB" w:rsidRDefault="00EE24FD">
            <w:pPr>
              <w:rPr>
                <w:szCs w:val="24"/>
              </w:rPr>
            </w:pPr>
            <w:r w:rsidRPr="001C56EB">
              <w:rPr>
                <w:szCs w:val="24"/>
              </w:rPr>
              <w:t>2018</w:t>
            </w:r>
          </w:p>
        </w:tc>
        <w:tc>
          <w:tcPr>
            <w:tcW w:w="1766" w:type="dxa"/>
          </w:tcPr>
          <w:p w:rsidR="00EE24FD" w:rsidRPr="001C56EB" w:rsidRDefault="00A61BA5">
            <w:pPr>
              <w:rPr>
                <w:szCs w:val="24"/>
              </w:rPr>
            </w:pPr>
            <w:r w:rsidRPr="001C56EB">
              <w:rPr>
                <w:szCs w:val="24"/>
              </w:rPr>
              <w:t>985</w:t>
            </w:r>
          </w:p>
        </w:tc>
        <w:tc>
          <w:tcPr>
            <w:tcW w:w="1352" w:type="dxa"/>
          </w:tcPr>
          <w:p w:rsidR="00EE24FD" w:rsidRPr="001C56EB" w:rsidRDefault="000211D9" w:rsidP="000211D9">
            <w:pPr>
              <w:rPr>
                <w:szCs w:val="24"/>
              </w:rPr>
            </w:pPr>
            <w:r w:rsidRPr="001C56EB">
              <w:rPr>
                <w:szCs w:val="24"/>
              </w:rPr>
              <w:t>6,740</w:t>
            </w:r>
          </w:p>
        </w:tc>
        <w:tc>
          <w:tcPr>
            <w:tcW w:w="992" w:type="dxa"/>
          </w:tcPr>
          <w:p w:rsidR="00EE24FD" w:rsidRPr="001C56EB" w:rsidRDefault="000211D9" w:rsidP="00426982">
            <w:pPr>
              <w:rPr>
                <w:szCs w:val="24"/>
              </w:rPr>
            </w:pPr>
            <w:r w:rsidRPr="001C56EB">
              <w:rPr>
                <w:szCs w:val="24"/>
              </w:rPr>
              <w:t>6,311</w:t>
            </w:r>
          </w:p>
        </w:tc>
        <w:tc>
          <w:tcPr>
            <w:tcW w:w="2410" w:type="dxa"/>
          </w:tcPr>
          <w:p w:rsidR="00EE24FD" w:rsidRPr="001C56EB" w:rsidRDefault="000211D9" w:rsidP="000211D9">
            <w:pPr>
              <w:rPr>
                <w:szCs w:val="24"/>
              </w:rPr>
            </w:pPr>
            <w:r w:rsidRPr="001C56EB">
              <w:rPr>
                <w:szCs w:val="24"/>
              </w:rPr>
              <w:t>429 surplus places</w:t>
            </w:r>
          </w:p>
        </w:tc>
      </w:tr>
      <w:tr w:rsidR="00EE24FD" w:rsidRPr="001C56EB" w:rsidTr="00E84F2D">
        <w:tc>
          <w:tcPr>
            <w:tcW w:w="1323" w:type="dxa"/>
          </w:tcPr>
          <w:p w:rsidR="00EE24FD" w:rsidRPr="001C56EB" w:rsidRDefault="00EE24FD">
            <w:pPr>
              <w:rPr>
                <w:szCs w:val="24"/>
              </w:rPr>
            </w:pPr>
          </w:p>
        </w:tc>
        <w:tc>
          <w:tcPr>
            <w:tcW w:w="1123" w:type="dxa"/>
          </w:tcPr>
          <w:p w:rsidR="00EE24FD" w:rsidRPr="001C56EB" w:rsidRDefault="00EE24FD">
            <w:pPr>
              <w:rPr>
                <w:szCs w:val="24"/>
              </w:rPr>
            </w:pPr>
          </w:p>
        </w:tc>
        <w:tc>
          <w:tcPr>
            <w:tcW w:w="1099" w:type="dxa"/>
          </w:tcPr>
          <w:p w:rsidR="00EE24FD" w:rsidRPr="001C56EB" w:rsidRDefault="00EE24FD">
            <w:pPr>
              <w:rPr>
                <w:szCs w:val="24"/>
              </w:rPr>
            </w:pPr>
          </w:p>
        </w:tc>
        <w:tc>
          <w:tcPr>
            <w:tcW w:w="1766" w:type="dxa"/>
          </w:tcPr>
          <w:p w:rsidR="00EE24FD" w:rsidRPr="001C56EB" w:rsidRDefault="00EE24FD">
            <w:pPr>
              <w:rPr>
                <w:szCs w:val="24"/>
              </w:rPr>
            </w:pPr>
          </w:p>
        </w:tc>
        <w:tc>
          <w:tcPr>
            <w:tcW w:w="1352" w:type="dxa"/>
          </w:tcPr>
          <w:p w:rsidR="00EE24FD" w:rsidRPr="001C56EB" w:rsidRDefault="00EE24FD">
            <w:pPr>
              <w:rPr>
                <w:szCs w:val="24"/>
              </w:rPr>
            </w:pPr>
          </w:p>
        </w:tc>
        <w:tc>
          <w:tcPr>
            <w:tcW w:w="992" w:type="dxa"/>
          </w:tcPr>
          <w:p w:rsidR="00EE24FD" w:rsidRPr="001C56EB" w:rsidRDefault="00EE24FD">
            <w:pPr>
              <w:rPr>
                <w:szCs w:val="24"/>
              </w:rPr>
            </w:pPr>
          </w:p>
        </w:tc>
        <w:tc>
          <w:tcPr>
            <w:tcW w:w="2410" w:type="dxa"/>
          </w:tcPr>
          <w:p w:rsidR="00EE24FD" w:rsidRPr="001C56EB" w:rsidRDefault="00EE24FD">
            <w:pPr>
              <w:rPr>
                <w:szCs w:val="24"/>
              </w:rPr>
            </w:pPr>
          </w:p>
        </w:tc>
      </w:tr>
      <w:tr w:rsidR="00EE24FD" w:rsidRPr="001C56EB" w:rsidTr="00E84F2D">
        <w:tc>
          <w:tcPr>
            <w:tcW w:w="1323" w:type="dxa"/>
          </w:tcPr>
          <w:p w:rsidR="00EE24FD" w:rsidRPr="001C56EB" w:rsidRDefault="00A61BA5" w:rsidP="00A61BA5">
            <w:pPr>
              <w:rPr>
                <w:szCs w:val="24"/>
              </w:rPr>
            </w:pPr>
            <w:r w:rsidRPr="001C56EB">
              <w:rPr>
                <w:szCs w:val="24"/>
              </w:rPr>
              <w:t>Burnley Rural</w:t>
            </w:r>
          </w:p>
        </w:tc>
        <w:tc>
          <w:tcPr>
            <w:tcW w:w="1123" w:type="dxa"/>
          </w:tcPr>
          <w:p w:rsidR="00EE24FD" w:rsidRPr="001C56EB" w:rsidRDefault="00A61BA5" w:rsidP="00D4207E">
            <w:pPr>
              <w:rPr>
                <w:szCs w:val="24"/>
              </w:rPr>
            </w:pPr>
            <w:r w:rsidRPr="001C56EB">
              <w:rPr>
                <w:szCs w:val="24"/>
              </w:rPr>
              <w:t>2</w:t>
            </w:r>
          </w:p>
        </w:tc>
        <w:tc>
          <w:tcPr>
            <w:tcW w:w="1099" w:type="dxa"/>
          </w:tcPr>
          <w:p w:rsidR="00EE24FD" w:rsidRPr="001C56EB" w:rsidRDefault="00EE24FD" w:rsidP="00D4207E">
            <w:pPr>
              <w:rPr>
                <w:szCs w:val="24"/>
              </w:rPr>
            </w:pPr>
            <w:r w:rsidRPr="001C56EB">
              <w:rPr>
                <w:szCs w:val="24"/>
              </w:rPr>
              <w:t>May 2013</w:t>
            </w:r>
          </w:p>
        </w:tc>
        <w:tc>
          <w:tcPr>
            <w:tcW w:w="1766" w:type="dxa"/>
          </w:tcPr>
          <w:p w:rsidR="00EE24FD" w:rsidRPr="001C56EB" w:rsidRDefault="00A61BA5">
            <w:pPr>
              <w:rPr>
                <w:szCs w:val="24"/>
              </w:rPr>
            </w:pPr>
            <w:r w:rsidRPr="001C56EB">
              <w:rPr>
                <w:szCs w:val="24"/>
              </w:rPr>
              <w:t>60</w:t>
            </w:r>
          </w:p>
        </w:tc>
        <w:tc>
          <w:tcPr>
            <w:tcW w:w="1352" w:type="dxa"/>
          </w:tcPr>
          <w:p w:rsidR="00EE24FD" w:rsidRPr="001C56EB" w:rsidRDefault="000211D9">
            <w:pPr>
              <w:rPr>
                <w:szCs w:val="24"/>
              </w:rPr>
            </w:pPr>
            <w:r w:rsidRPr="001C56EB">
              <w:rPr>
                <w:szCs w:val="24"/>
              </w:rPr>
              <w:t>420</w:t>
            </w:r>
          </w:p>
        </w:tc>
        <w:tc>
          <w:tcPr>
            <w:tcW w:w="992" w:type="dxa"/>
          </w:tcPr>
          <w:p w:rsidR="00EE24FD" w:rsidRPr="001C56EB" w:rsidRDefault="000211D9" w:rsidP="00426982">
            <w:pPr>
              <w:rPr>
                <w:szCs w:val="24"/>
              </w:rPr>
            </w:pPr>
            <w:r w:rsidRPr="001C56EB">
              <w:rPr>
                <w:szCs w:val="24"/>
              </w:rPr>
              <w:t>386</w:t>
            </w:r>
          </w:p>
        </w:tc>
        <w:tc>
          <w:tcPr>
            <w:tcW w:w="2410" w:type="dxa"/>
          </w:tcPr>
          <w:p w:rsidR="00EE24FD" w:rsidRPr="001C56EB" w:rsidRDefault="000211D9" w:rsidP="00EE24FD">
            <w:pPr>
              <w:rPr>
                <w:szCs w:val="24"/>
              </w:rPr>
            </w:pPr>
            <w:r w:rsidRPr="001C56EB">
              <w:rPr>
                <w:szCs w:val="24"/>
              </w:rPr>
              <w:t>34</w:t>
            </w:r>
            <w:r w:rsidR="00EE24FD" w:rsidRPr="001C56EB">
              <w:rPr>
                <w:szCs w:val="24"/>
              </w:rPr>
              <w:t xml:space="preserve"> surplus places</w:t>
            </w:r>
          </w:p>
        </w:tc>
      </w:tr>
      <w:tr w:rsidR="00EE24FD" w:rsidRPr="001C56EB" w:rsidTr="00E84F2D">
        <w:tc>
          <w:tcPr>
            <w:tcW w:w="1323" w:type="dxa"/>
          </w:tcPr>
          <w:p w:rsidR="00EE24FD" w:rsidRPr="001C56EB" w:rsidRDefault="00EE24FD">
            <w:pPr>
              <w:rPr>
                <w:szCs w:val="24"/>
              </w:rPr>
            </w:pPr>
          </w:p>
        </w:tc>
        <w:tc>
          <w:tcPr>
            <w:tcW w:w="1123" w:type="dxa"/>
          </w:tcPr>
          <w:p w:rsidR="00EE24FD" w:rsidRPr="001C56EB" w:rsidRDefault="00A61BA5" w:rsidP="00426982">
            <w:pPr>
              <w:rPr>
                <w:szCs w:val="24"/>
              </w:rPr>
            </w:pPr>
            <w:r w:rsidRPr="001C56EB">
              <w:rPr>
                <w:szCs w:val="24"/>
              </w:rPr>
              <w:t>2</w:t>
            </w:r>
          </w:p>
        </w:tc>
        <w:tc>
          <w:tcPr>
            <w:tcW w:w="1099" w:type="dxa"/>
          </w:tcPr>
          <w:p w:rsidR="00EE24FD" w:rsidRPr="001C56EB" w:rsidRDefault="00EE24FD" w:rsidP="00426982">
            <w:pPr>
              <w:rPr>
                <w:szCs w:val="24"/>
              </w:rPr>
            </w:pPr>
            <w:r w:rsidRPr="001C56EB">
              <w:rPr>
                <w:szCs w:val="24"/>
              </w:rPr>
              <w:t xml:space="preserve">Jan </w:t>
            </w:r>
          </w:p>
          <w:p w:rsidR="00EE24FD" w:rsidRPr="001C56EB" w:rsidRDefault="00EE24FD" w:rsidP="00426982">
            <w:pPr>
              <w:rPr>
                <w:szCs w:val="24"/>
              </w:rPr>
            </w:pPr>
            <w:r w:rsidRPr="001C56EB">
              <w:rPr>
                <w:szCs w:val="24"/>
              </w:rPr>
              <w:t>2018</w:t>
            </w:r>
          </w:p>
        </w:tc>
        <w:tc>
          <w:tcPr>
            <w:tcW w:w="1766" w:type="dxa"/>
          </w:tcPr>
          <w:p w:rsidR="00EE24FD" w:rsidRPr="001C56EB" w:rsidRDefault="00A61BA5" w:rsidP="00A61BA5">
            <w:pPr>
              <w:rPr>
                <w:szCs w:val="24"/>
              </w:rPr>
            </w:pPr>
            <w:r w:rsidRPr="001C56EB">
              <w:rPr>
                <w:szCs w:val="24"/>
              </w:rPr>
              <w:t>60</w:t>
            </w:r>
          </w:p>
        </w:tc>
        <w:tc>
          <w:tcPr>
            <w:tcW w:w="1352" w:type="dxa"/>
          </w:tcPr>
          <w:p w:rsidR="00EE24FD" w:rsidRPr="001C56EB" w:rsidRDefault="000211D9">
            <w:pPr>
              <w:rPr>
                <w:szCs w:val="24"/>
              </w:rPr>
            </w:pPr>
            <w:r w:rsidRPr="001C56EB">
              <w:rPr>
                <w:szCs w:val="24"/>
              </w:rPr>
              <w:t>420</w:t>
            </w:r>
          </w:p>
        </w:tc>
        <w:tc>
          <w:tcPr>
            <w:tcW w:w="992" w:type="dxa"/>
          </w:tcPr>
          <w:p w:rsidR="00EE24FD" w:rsidRPr="001C56EB" w:rsidRDefault="000211D9" w:rsidP="00426982">
            <w:pPr>
              <w:rPr>
                <w:szCs w:val="24"/>
              </w:rPr>
            </w:pPr>
            <w:r w:rsidRPr="001C56EB">
              <w:rPr>
                <w:szCs w:val="24"/>
              </w:rPr>
              <w:t>386</w:t>
            </w:r>
          </w:p>
        </w:tc>
        <w:tc>
          <w:tcPr>
            <w:tcW w:w="2410" w:type="dxa"/>
          </w:tcPr>
          <w:p w:rsidR="00EE24FD" w:rsidRPr="001C56EB" w:rsidRDefault="000211D9" w:rsidP="00426982">
            <w:pPr>
              <w:rPr>
                <w:szCs w:val="24"/>
              </w:rPr>
            </w:pPr>
            <w:r w:rsidRPr="001C56EB">
              <w:rPr>
                <w:szCs w:val="24"/>
              </w:rPr>
              <w:t>34</w:t>
            </w:r>
            <w:r w:rsidR="00EE24FD" w:rsidRPr="001C56EB">
              <w:rPr>
                <w:szCs w:val="24"/>
              </w:rPr>
              <w:t xml:space="preserve"> surplus places</w:t>
            </w:r>
          </w:p>
        </w:tc>
      </w:tr>
      <w:tr w:rsidR="00EE24FD" w:rsidRPr="001C56EB" w:rsidTr="00E84F2D">
        <w:tc>
          <w:tcPr>
            <w:tcW w:w="1323" w:type="dxa"/>
          </w:tcPr>
          <w:p w:rsidR="00EE24FD" w:rsidRPr="001C56EB" w:rsidRDefault="00EE24FD">
            <w:pPr>
              <w:rPr>
                <w:szCs w:val="24"/>
              </w:rPr>
            </w:pPr>
          </w:p>
        </w:tc>
        <w:tc>
          <w:tcPr>
            <w:tcW w:w="1123" w:type="dxa"/>
          </w:tcPr>
          <w:p w:rsidR="00EE24FD" w:rsidRPr="001C56EB" w:rsidRDefault="00EE24FD" w:rsidP="00D4207E">
            <w:pPr>
              <w:rPr>
                <w:szCs w:val="24"/>
              </w:rPr>
            </w:pPr>
          </w:p>
        </w:tc>
        <w:tc>
          <w:tcPr>
            <w:tcW w:w="1099" w:type="dxa"/>
          </w:tcPr>
          <w:p w:rsidR="00EE24FD" w:rsidRPr="001C56EB" w:rsidRDefault="00EE24FD" w:rsidP="00D4207E">
            <w:pPr>
              <w:rPr>
                <w:szCs w:val="24"/>
              </w:rPr>
            </w:pPr>
          </w:p>
        </w:tc>
        <w:tc>
          <w:tcPr>
            <w:tcW w:w="1766" w:type="dxa"/>
          </w:tcPr>
          <w:p w:rsidR="00EE24FD" w:rsidRPr="001C56EB" w:rsidRDefault="00EE24FD">
            <w:pPr>
              <w:rPr>
                <w:szCs w:val="24"/>
              </w:rPr>
            </w:pPr>
          </w:p>
        </w:tc>
        <w:tc>
          <w:tcPr>
            <w:tcW w:w="1352" w:type="dxa"/>
          </w:tcPr>
          <w:p w:rsidR="00EE24FD" w:rsidRPr="001C56EB" w:rsidRDefault="00EE24FD">
            <w:pPr>
              <w:rPr>
                <w:szCs w:val="24"/>
              </w:rPr>
            </w:pPr>
          </w:p>
        </w:tc>
        <w:tc>
          <w:tcPr>
            <w:tcW w:w="992" w:type="dxa"/>
          </w:tcPr>
          <w:p w:rsidR="00EE24FD" w:rsidRPr="001C56EB" w:rsidRDefault="00EE24FD">
            <w:pPr>
              <w:rPr>
                <w:szCs w:val="24"/>
              </w:rPr>
            </w:pPr>
          </w:p>
        </w:tc>
        <w:tc>
          <w:tcPr>
            <w:tcW w:w="2410" w:type="dxa"/>
          </w:tcPr>
          <w:p w:rsidR="00EE24FD" w:rsidRPr="001C56EB" w:rsidRDefault="00EE24FD">
            <w:pPr>
              <w:rPr>
                <w:szCs w:val="24"/>
              </w:rPr>
            </w:pPr>
          </w:p>
        </w:tc>
      </w:tr>
      <w:tr w:rsidR="00EE24FD" w:rsidRPr="001C56EB" w:rsidTr="00E84F2D">
        <w:tc>
          <w:tcPr>
            <w:tcW w:w="1323" w:type="dxa"/>
          </w:tcPr>
          <w:p w:rsidR="00EE24FD" w:rsidRPr="001C56EB" w:rsidRDefault="00A61BA5" w:rsidP="00A61BA5">
            <w:pPr>
              <w:rPr>
                <w:szCs w:val="24"/>
              </w:rPr>
            </w:pPr>
            <w:r w:rsidRPr="001C56EB">
              <w:rPr>
                <w:szCs w:val="24"/>
              </w:rPr>
              <w:t>Padiham</w:t>
            </w:r>
          </w:p>
        </w:tc>
        <w:tc>
          <w:tcPr>
            <w:tcW w:w="1123" w:type="dxa"/>
          </w:tcPr>
          <w:p w:rsidR="00EE24FD" w:rsidRPr="001C56EB" w:rsidRDefault="00A61BA5" w:rsidP="00D4207E">
            <w:pPr>
              <w:rPr>
                <w:szCs w:val="24"/>
              </w:rPr>
            </w:pPr>
            <w:r w:rsidRPr="001C56EB">
              <w:rPr>
                <w:szCs w:val="24"/>
              </w:rPr>
              <w:t>5</w:t>
            </w:r>
          </w:p>
        </w:tc>
        <w:tc>
          <w:tcPr>
            <w:tcW w:w="1099" w:type="dxa"/>
          </w:tcPr>
          <w:p w:rsidR="00EE24FD" w:rsidRPr="001C56EB" w:rsidRDefault="00EE24FD" w:rsidP="00D4207E">
            <w:pPr>
              <w:rPr>
                <w:szCs w:val="24"/>
              </w:rPr>
            </w:pPr>
            <w:r w:rsidRPr="001C56EB">
              <w:rPr>
                <w:szCs w:val="24"/>
              </w:rPr>
              <w:t>May 2013</w:t>
            </w:r>
          </w:p>
        </w:tc>
        <w:tc>
          <w:tcPr>
            <w:tcW w:w="1766" w:type="dxa"/>
          </w:tcPr>
          <w:p w:rsidR="00EE24FD" w:rsidRPr="001C56EB" w:rsidRDefault="00A61BA5">
            <w:pPr>
              <w:rPr>
                <w:szCs w:val="24"/>
              </w:rPr>
            </w:pPr>
            <w:r w:rsidRPr="001C56EB">
              <w:rPr>
                <w:szCs w:val="24"/>
              </w:rPr>
              <w:t>168</w:t>
            </w:r>
          </w:p>
        </w:tc>
        <w:tc>
          <w:tcPr>
            <w:tcW w:w="1352" w:type="dxa"/>
          </w:tcPr>
          <w:p w:rsidR="00EE24FD" w:rsidRPr="001C56EB" w:rsidRDefault="000211D9">
            <w:pPr>
              <w:rPr>
                <w:szCs w:val="24"/>
              </w:rPr>
            </w:pPr>
            <w:r w:rsidRPr="001C56EB">
              <w:rPr>
                <w:szCs w:val="24"/>
              </w:rPr>
              <w:t>1,006</w:t>
            </w:r>
          </w:p>
        </w:tc>
        <w:tc>
          <w:tcPr>
            <w:tcW w:w="992" w:type="dxa"/>
          </w:tcPr>
          <w:p w:rsidR="00EE24FD" w:rsidRPr="001C56EB" w:rsidRDefault="000211D9">
            <w:pPr>
              <w:rPr>
                <w:szCs w:val="24"/>
              </w:rPr>
            </w:pPr>
            <w:r w:rsidRPr="001C56EB">
              <w:rPr>
                <w:szCs w:val="24"/>
              </w:rPr>
              <w:t>997</w:t>
            </w:r>
          </w:p>
        </w:tc>
        <w:tc>
          <w:tcPr>
            <w:tcW w:w="2410" w:type="dxa"/>
          </w:tcPr>
          <w:p w:rsidR="00EE24FD" w:rsidRDefault="00EE24FD" w:rsidP="00EE24FD">
            <w:pPr>
              <w:rPr>
                <w:szCs w:val="24"/>
              </w:rPr>
            </w:pPr>
            <w:r w:rsidRPr="001C56EB">
              <w:rPr>
                <w:szCs w:val="24"/>
              </w:rPr>
              <w:t>9 surplus places</w:t>
            </w:r>
          </w:p>
          <w:p w:rsidR="00E84F2D" w:rsidRPr="001C56EB" w:rsidRDefault="00E84F2D" w:rsidP="00EE24FD">
            <w:pPr>
              <w:rPr>
                <w:szCs w:val="24"/>
              </w:rPr>
            </w:pPr>
          </w:p>
        </w:tc>
      </w:tr>
      <w:tr w:rsidR="00EE24FD" w:rsidRPr="001C56EB" w:rsidTr="00E84F2D">
        <w:tc>
          <w:tcPr>
            <w:tcW w:w="1323" w:type="dxa"/>
          </w:tcPr>
          <w:p w:rsidR="00EE24FD" w:rsidRPr="001C56EB" w:rsidRDefault="00EE24FD">
            <w:pPr>
              <w:rPr>
                <w:szCs w:val="24"/>
              </w:rPr>
            </w:pPr>
          </w:p>
        </w:tc>
        <w:tc>
          <w:tcPr>
            <w:tcW w:w="1123" w:type="dxa"/>
          </w:tcPr>
          <w:p w:rsidR="00EE24FD" w:rsidRPr="001C56EB" w:rsidRDefault="00A61BA5" w:rsidP="00426982">
            <w:pPr>
              <w:rPr>
                <w:szCs w:val="24"/>
              </w:rPr>
            </w:pPr>
            <w:r w:rsidRPr="001C56EB">
              <w:rPr>
                <w:szCs w:val="24"/>
              </w:rPr>
              <w:t>5</w:t>
            </w:r>
          </w:p>
        </w:tc>
        <w:tc>
          <w:tcPr>
            <w:tcW w:w="1099" w:type="dxa"/>
          </w:tcPr>
          <w:p w:rsidR="00EE24FD" w:rsidRPr="001C56EB" w:rsidRDefault="00EE24FD" w:rsidP="00426982">
            <w:pPr>
              <w:rPr>
                <w:szCs w:val="24"/>
              </w:rPr>
            </w:pPr>
            <w:r w:rsidRPr="001C56EB">
              <w:rPr>
                <w:szCs w:val="24"/>
              </w:rPr>
              <w:t xml:space="preserve">Jan </w:t>
            </w:r>
          </w:p>
          <w:p w:rsidR="00EE24FD" w:rsidRPr="001C56EB" w:rsidRDefault="00EE24FD" w:rsidP="00426982">
            <w:pPr>
              <w:rPr>
                <w:szCs w:val="24"/>
              </w:rPr>
            </w:pPr>
            <w:r w:rsidRPr="001C56EB">
              <w:rPr>
                <w:szCs w:val="24"/>
              </w:rPr>
              <w:t>2018</w:t>
            </w:r>
          </w:p>
        </w:tc>
        <w:tc>
          <w:tcPr>
            <w:tcW w:w="1766" w:type="dxa"/>
          </w:tcPr>
          <w:p w:rsidR="00EE24FD" w:rsidRPr="001C56EB" w:rsidRDefault="00A61BA5">
            <w:pPr>
              <w:rPr>
                <w:szCs w:val="24"/>
              </w:rPr>
            </w:pPr>
            <w:r w:rsidRPr="001C56EB">
              <w:rPr>
                <w:szCs w:val="24"/>
              </w:rPr>
              <w:t>168</w:t>
            </w:r>
          </w:p>
        </w:tc>
        <w:tc>
          <w:tcPr>
            <w:tcW w:w="1352" w:type="dxa"/>
          </w:tcPr>
          <w:p w:rsidR="00EE24FD" w:rsidRPr="001C56EB" w:rsidRDefault="000211D9">
            <w:pPr>
              <w:rPr>
                <w:szCs w:val="24"/>
              </w:rPr>
            </w:pPr>
            <w:r w:rsidRPr="001C56EB">
              <w:rPr>
                <w:szCs w:val="24"/>
              </w:rPr>
              <w:t>1,006</w:t>
            </w:r>
          </w:p>
        </w:tc>
        <w:tc>
          <w:tcPr>
            <w:tcW w:w="992" w:type="dxa"/>
          </w:tcPr>
          <w:p w:rsidR="00EE24FD" w:rsidRPr="001C56EB" w:rsidRDefault="000211D9">
            <w:pPr>
              <w:rPr>
                <w:szCs w:val="24"/>
              </w:rPr>
            </w:pPr>
            <w:r w:rsidRPr="001C56EB">
              <w:rPr>
                <w:szCs w:val="24"/>
              </w:rPr>
              <w:t>1,071</w:t>
            </w:r>
          </w:p>
        </w:tc>
        <w:tc>
          <w:tcPr>
            <w:tcW w:w="2410" w:type="dxa"/>
          </w:tcPr>
          <w:p w:rsidR="00EE24FD" w:rsidRPr="001C56EB" w:rsidRDefault="000211D9" w:rsidP="000211D9">
            <w:pPr>
              <w:rPr>
                <w:szCs w:val="24"/>
              </w:rPr>
            </w:pPr>
            <w:r w:rsidRPr="001C56EB">
              <w:rPr>
                <w:szCs w:val="24"/>
              </w:rPr>
              <w:t>6</w:t>
            </w:r>
            <w:r w:rsidR="00EE24FD" w:rsidRPr="001C56EB">
              <w:rPr>
                <w:szCs w:val="24"/>
              </w:rPr>
              <w:t>5 shortfall</w:t>
            </w:r>
          </w:p>
        </w:tc>
      </w:tr>
      <w:tr w:rsidR="00B51C45" w:rsidRPr="001C56EB" w:rsidTr="00E84F2D">
        <w:tc>
          <w:tcPr>
            <w:tcW w:w="1323" w:type="dxa"/>
          </w:tcPr>
          <w:p w:rsidR="00B51C45" w:rsidRPr="001C56EB" w:rsidRDefault="00B51C45">
            <w:pPr>
              <w:rPr>
                <w:szCs w:val="24"/>
              </w:rPr>
            </w:pPr>
          </w:p>
        </w:tc>
        <w:tc>
          <w:tcPr>
            <w:tcW w:w="1123" w:type="dxa"/>
          </w:tcPr>
          <w:p w:rsidR="00B51C45" w:rsidRPr="001C56EB" w:rsidRDefault="00B51C45">
            <w:pPr>
              <w:rPr>
                <w:szCs w:val="24"/>
              </w:rPr>
            </w:pPr>
          </w:p>
        </w:tc>
        <w:tc>
          <w:tcPr>
            <w:tcW w:w="1099" w:type="dxa"/>
          </w:tcPr>
          <w:p w:rsidR="00B51C45" w:rsidRPr="001C56EB" w:rsidRDefault="00B51C45">
            <w:pPr>
              <w:rPr>
                <w:szCs w:val="24"/>
              </w:rPr>
            </w:pPr>
          </w:p>
        </w:tc>
        <w:tc>
          <w:tcPr>
            <w:tcW w:w="1766" w:type="dxa"/>
          </w:tcPr>
          <w:p w:rsidR="00B51C45" w:rsidRPr="001C56EB" w:rsidRDefault="00B51C45">
            <w:pPr>
              <w:rPr>
                <w:szCs w:val="24"/>
              </w:rPr>
            </w:pPr>
          </w:p>
        </w:tc>
        <w:tc>
          <w:tcPr>
            <w:tcW w:w="1352" w:type="dxa"/>
          </w:tcPr>
          <w:p w:rsidR="00B51C45" w:rsidRPr="001C56EB" w:rsidRDefault="00B51C45">
            <w:pPr>
              <w:rPr>
                <w:szCs w:val="24"/>
              </w:rPr>
            </w:pPr>
          </w:p>
        </w:tc>
        <w:tc>
          <w:tcPr>
            <w:tcW w:w="992" w:type="dxa"/>
          </w:tcPr>
          <w:p w:rsidR="00B51C45" w:rsidRPr="001C56EB" w:rsidRDefault="00B51C45">
            <w:pPr>
              <w:rPr>
                <w:szCs w:val="24"/>
              </w:rPr>
            </w:pPr>
          </w:p>
        </w:tc>
        <w:tc>
          <w:tcPr>
            <w:tcW w:w="2410" w:type="dxa"/>
          </w:tcPr>
          <w:p w:rsidR="00B51C45" w:rsidRDefault="00B51C45" w:rsidP="00350472">
            <w:pPr>
              <w:rPr>
                <w:szCs w:val="24"/>
              </w:rPr>
            </w:pPr>
            <w:r w:rsidRPr="001C56EB">
              <w:rPr>
                <w:szCs w:val="24"/>
              </w:rPr>
              <w:t xml:space="preserve">Note – </w:t>
            </w:r>
            <w:r w:rsidR="00E550F7" w:rsidRPr="001C56EB">
              <w:rPr>
                <w:szCs w:val="24"/>
              </w:rPr>
              <w:t xml:space="preserve">Proposed </w:t>
            </w:r>
            <w:r w:rsidRPr="001C56EB">
              <w:rPr>
                <w:szCs w:val="24"/>
              </w:rPr>
              <w:t xml:space="preserve">expansion at St Leonard's will increase net capacity by an additional 115 places </w:t>
            </w:r>
            <w:r w:rsidR="00E550F7" w:rsidRPr="001C56EB">
              <w:rPr>
                <w:szCs w:val="24"/>
              </w:rPr>
              <w:t>to address this shortfall. Decision due Dec. 2013.</w:t>
            </w:r>
          </w:p>
          <w:p w:rsidR="00E84F2D" w:rsidRPr="001C56EB" w:rsidRDefault="00E84F2D" w:rsidP="00350472">
            <w:pPr>
              <w:rPr>
                <w:szCs w:val="24"/>
              </w:rPr>
            </w:pPr>
          </w:p>
        </w:tc>
      </w:tr>
      <w:tr w:rsidR="00B51C45" w:rsidRPr="001C56EB" w:rsidTr="00E84F2D">
        <w:tc>
          <w:tcPr>
            <w:tcW w:w="1323" w:type="dxa"/>
          </w:tcPr>
          <w:p w:rsidR="00B51C45" w:rsidRPr="001C56EB" w:rsidRDefault="00B51C45">
            <w:pPr>
              <w:rPr>
                <w:szCs w:val="24"/>
              </w:rPr>
            </w:pPr>
            <w:r w:rsidRPr="001C56EB">
              <w:rPr>
                <w:szCs w:val="24"/>
              </w:rPr>
              <w:t>Totals</w:t>
            </w:r>
            <w:r w:rsidR="00E550F7" w:rsidRPr="001C56EB">
              <w:rPr>
                <w:szCs w:val="24"/>
              </w:rPr>
              <w:t xml:space="preserve"> (net)</w:t>
            </w:r>
          </w:p>
        </w:tc>
        <w:tc>
          <w:tcPr>
            <w:tcW w:w="1123" w:type="dxa"/>
          </w:tcPr>
          <w:p w:rsidR="00B51C45" w:rsidRPr="001C56EB" w:rsidRDefault="00B51C45" w:rsidP="00D4207E">
            <w:pPr>
              <w:rPr>
                <w:szCs w:val="24"/>
              </w:rPr>
            </w:pPr>
          </w:p>
        </w:tc>
        <w:tc>
          <w:tcPr>
            <w:tcW w:w="1099" w:type="dxa"/>
          </w:tcPr>
          <w:p w:rsidR="00B51C45" w:rsidRPr="001C56EB" w:rsidRDefault="00B51C45" w:rsidP="00D4207E">
            <w:pPr>
              <w:rPr>
                <w:szCs w:val="24"/>
              </w:rPr>
            </w:pPr>
            <w:r w:rsidRPr="001C56EB">
              <w:rPr>
                <w:szCs w:val="24"/>
              </w:rPr>
              <w:t>May 2013</w:t>
            </w:r>
          </w:p>
        </w:tc>
        <w:tc>
          <w:tcPr>
            <w:tcW w:w="1766" w:type="dxa"/>
          </w:tcPr>
          <w:p w:rsidR="00B51C45" w:rsidRPr="001C56EB" w:rsidRDefault="00B51C45">
            <w:pPr>
              <w:rPr>
                <w:szCs w:val="24"/>
              </w:rPr>
            </w:pPr>
          </w:p>
        </w:tc>
        <w:tc>
          <w:tcPr>
            <w:tcW w:w="1352" w:type="dxa"/>
          </w:tcPr>
          <w:p w:rsidR="00B51C45" w:rsidRPr="001C56EB" w:rsidRDefault="00B51C45">
            <w:pPr>
              <w:rPr>
                <w:szCs w:val="24"/>
              </w:rPr>
            </w:pPr>
          </w:p>
        </w:tc>
        <w:tc>
          <w:tcPr>
            <w:tcW w:w="992" w:type="dxa"/>
          </w:tcPr>
          <w:p w:rsidR="00B51C45" w:rsidRPr="001C56EB" w:rsidRDefault="00B51C45">
            <w:pPr>
              <w:rPr>
                <w:szCs w:val="24"/>
              </w:rPr>
            </w:pPr>
          </w:p>
        </w:tc>
        <w:tc>
          <w:tcPr>
            <w:tcW w:w="2410" w:type="dxa"/>
          </w:tcPr>
          <w:p w:rsidR="00B51C45" w:rsidRPr="001C56EB" w:rsidRDefault="00B51C45" w:rsidP="00EE24FD">
            <w:pPr>
              <w:rPr>
                <w:szCs w:val="24"/>
              </w:rPr>
            </w:pPr>
            <w:r w:rsidRPr="001C56EB">
              <w:rPr>
                <w:szCs w:val="24"/>
              </w:rPr>
              <w:t>769 surplus places</w:t>
            </w:r>
          </w:p>
        </w:tc>
      </w:tr>
      <w:tr w:rsidR="00B51C45" w:rsidRPr="001C56EB" w:rsidTr="00E84F2D">
        <w:tc>
          <w:tcPr>
            <w:tcW w:w="1323" w:type="dxa"/>
          </w:tcPr>
          <w:p w:rsidR="00B51C45" w:rsidRPr="001C56EB" w:rsidRDefault="00B51C45">
            <w:pPr>
              <w:rPr>
                <w:szCs w:val="24"/>
              </w:rPr>
            </w:pPr>
          </w:p>
        </w:tc>
        <w:tc>
          <w:tcPr>
            <w:tcW w:w="1123" w:type="dxa"/>
          </w:tcPr>
          <w:p w:rsidR="00B51C45" w:rsidRPr="001C56EB" w:rsidRDefault="00B51C45" w:rsidP="00426982">
            <w:pPr>
              <w:rPr>
                <w:szCs w:val="24"/>
                <w:highlight w:val="yellow"/>
              </w:rPr>
            </w:pPr>
          </w:p>
        </w:tc>
        <w:tc>
          <w:tcPr>
            <w:tcW w:w="1099" w:type="dxa"/>
          </w:tcPr>
          <w:p w:rsidR="00B51C45" w:rsidRPr="001C56EB" w:rsidRDefault="00B51C45" w:rsidP="00426982">
            <w:pPr>
              <w:rPr>
                <w:szCs w:val="24"/>
              </w:rPr>
            </w:pPr>
            <w:r w:rsidRPr="001C56EB">
              <w:rPr>
                <w:szCs w:val="24"/>
              </w:rPr>
              <w:t xml:space="preserve">Jan </w:t>
            </w:r>
          </w:p>
          <w:p w:rsidR="00B51C45" w:rsidRPr="001C56EB" w:rsidRDefault="00B51C45" w:rsidP="00426982">
            <w:pPr>
              <w:rPr>
                <w:szCs w:val="24"/>
                <w:highlight w:val="yellow"/>
              </w:rPr>
            </w:pPr>
            <w:r w:rsidRPr="001C56EB">
              <w:rPr>
                <w:szCs w:val="24"/>
              </w:rPr>
              <w:t>2018</w:t>
            </w:r>
          </w:p>
        </w:tc>
        <w:tc>
          <w:tcPr>
            <w:tcW w:w="1766" w:type="dxa"/>
          </w:tcPr>
          <w:p w:rsidR="00B51C45" w:rsidRPr="001C56EB" w:rsidRDefault="00B51C45">
            <w:pPr>
              <w:rPr>
                <w:szCs w:val="24"/>
              </w:rPr>
            </w:pPr>
          </w:p>
        </w:tc>
        <w:tc>
          <w:tcPr>
            <w:tcW w:w="1352" w:type="dxa"/>
          </w:tcPr>
          <w:p w:rsidR="00B51C45" w:rsidRPr="001C56EB" w:rsidRDefault="00B51C45">
            <w:pPr>
              <w:rPr>
                <w:szCs w:val="24"/>
              </w:rPr>
            </w:pPr>
          </w:p>
        </w:tc>
        <w:tc>
          <w:tcPr>
            <w:tcW w:w="992" w:type="dxa"/>
          </w:tcPr>
          <w:p w:rsidR="00B51C45" w:rsidRPr="001C56EB" w:rsidRDefault="00B51C45" w:rsidP="00EE24FD">
            <w:pPr>
              <w:rPr>
                <w:szCs w:val="24"/>
              </w:rPr>
            </w:pPr>
          </w:p>
        </w:tc>
        <w:tc>
          <w:tcPr>
            <w:tcW w:w="2410" w:type="dxa"/>
          </w:tcPr>
          <w:p w:rsidR="00B51C45" w:rsidRPr="001C56EB" w:rsidRDefault="00B51C45">
            <w:pPr>
              <w:rPr>
                <w:szCs w:val="24"/>
              </w:rPr>
            </w:pPr>
            <w:r w:rsidRPr="001C56EB">
              <w:rPr>
                <w:szCs w:val="24"/>
              </w:rPr>
              <w:t>398 surplus places</w:t>
            </w:r>
          </w:p>
        </w:tc>
      </w:tr>
    </w:tbl>
    <w:p w:rsidR="00E84F2D" w:rsidRDefault="00E84F2D" w:rsidP="001C56EB"/>
    <w:p w:rsidR="00E84F2D" w:rsidRDefault="00E84F2D" w:rsidP="001C56EB"/>
    <w:p w:rsidR="00E84F2D" w:rsidRDefault="00E84F2D" w:rsidP="001C56EB"/>
    <w:p w:rsidR="00E84F2D" w:rsidRDefault="00E84F2D" w:rsidP="001C56EB"/>
    <w:p w:rsidR="001C56EB" w:rsidRPr="00997DC0" w:rsidRDefault="001C56EB" w:rsidP="001C56EB">
      <w:r w:rsidRPr="00997DC0">
        <w:t xml:space="preserve">Secondary Schools – Base Data -May 2013 School Census </w:t>
      </w:r>
    </w:p>
    <w:tbl>
      <w:tblPr>
        <w:tblStyle w:val="TableGrid"/>
        <w:tblW w:w="10065" w:type="dxa"/>
        <w:tblInd w:w="-176" w:type="dxa"/>
        <w:tblLook w:val="04A0" w:firstRow="1" w:lastRow="0" w:firstColumn="1" w:lastColumn="0" w:noHBand="0" w:noVBand="1"/>
      </w:tblPr>
      <w:tblGrid>
        <w:gridCol w:w="1323"/>
        <w:gridCol w:w="1229"/>
        <w:gridCol w:w="993"/>
        <w:gridCol w:w="1701"/>
        <w:gridCol w:w="1417"/>
        <w:gridCol w:w="992"/>
        <w:gridCol w:w="2410"/>
      </w:tblGrid>
      <w:tr w:rsidR="001C56EB" w:rsidRPr="001C56EB" w:rsidTr="00E84F2D">
        <w:tc>
          <w:tcPr>
            <w:tcW w:w="1323" w:type="dxa"/>
            <w:tcBorders>
              <w:top w:val="single" w:sz="4" w:space="0" w:color="auto"/>
              <w:left w:val="single" w:sz="4" w:space="0" w:color="auto"/>
              <w:bottom w:val="single" w:sz="4" w:space="0" w:color="auto"/>
              <w:right w:val="single" w:sz="4" w:space="0" w:color="auto"/>
            </w:tcBorders>
            <w:hideMark/>
          </w:tcPr>
          <w:p w:rsidR="001C56EB" w:rsidRPr="001C56EB" w:rsidRDefault="001C56EB">
            <w:r w:rsidRPr="001C56EB">
              <w:t>DISTRICT</w:t>
            </w:r>
          </w:p>
        </w:tc>
        <w:tc>
          <w:tcPr>
            <w:tcW w:w="1229" w:type="dxa"/>
            <w:tcBorders>
              <w:top w:val="single" w:sz="4" w:space="0" w:color="auto"/>
              <w:left w:val="single" w:sz="4" w:space="0" w:color="auto"/>
              <w:bottom w:val="single" w:sz="4" w:space="0" w:color="auto"/>
              <w:right w:val="single" w:sz="4" w:space="0" w:color="auto"/>
            </w:tcBorders>
            <w:hideMark/>
          </w:tcPr>
          <w:p w:rsidR="001C56EB" w:rsidRPr="001C56EB" w:rsidRDefault="001C56EB">
            <w:r w:rsidRPr="001C56EB">
              <w:t>Number of schools</w:t>
            </w:r>
          </w:p>
        </w:tc>
        <w:tc>
          <w:tcPr>
            <w:tcW w:w="993" w:type="dxa"/>
            <w:tcBorders>
              <w:top w:val="single" w:sz="4" w:space="0" w:color="auto"/>
              <w:left w:val="single" w:sz="4" w:space="0" w:color="auto"/>
              <w:bottom w:val="single" w:sz="4" w:space="0" w:color="auto"/>
              <w:right w:val="single" w:sz="4" w:space="0" w:color="auto"/>
            </w:tcBorders>
            <w:hideMark/>
          </w:tcPr>
          <w:p w:rsidR="001C56EB" w:rsidRPr="001C56EB" w:rsidRDefault="001C56EB">
            <w:r w:rsidRPr="001C56EB">
              <w:t>DATE</w:t>
            </w:r>
          </w:p>
        </w:tc>
        <w:tc>
          <w:tcPr>
            <w:tcW w:w="1701" w:type="dxa"/>
            <w:tcBorders>
              <w:top w:val="single" w:sz="4" w:space="0" w:color="auto"/>
              <w:left w:val="single" w:sz="4" w:space="0" w:color="auto"/>
              <w:bottom w:val="single" w:sz="4" w:space="0" w:color="auto"/>
              <w:right w:val="single" w:sz="4" w:space="0" w:color="auto"/>
            </w:tcBorders>
            <w:hideMark/>
          </w:tcPr>
          <w:p w:rsidR="001C56EB" w:rsidRPr="001C56EB" w:rsidRDefault="001C56EB">
            <w:r w:rsidRPr="001C56EB">
              <w:t>PAN</w:t>
            </w:r>
          </w:p>
        </w:tc>
        <w:tc>
          <w:tcPr>
            <w:tcW w:w="1417" w:type="dxa"/>
            <w:tcBorders>
              <w:top w:val="single" w:sz="4" w:space="0" w:color="auto"/>
              <w:left w:val="single" w:sz="4" w:space="0" w:color="auto"/>
              <w:bottom w:val="single" w:sz="4" w:space="0" w:color="auto"/>
              <w:right w:val="single" w:sz="4" w:space="0" w:color="auto"/>
            </w:tcBorders>
            <w:hideMark/>
          </w:tcPr>
          <w:p w:rsidR="001C56EB" w:rsidRPr="001C56EB" w:rsidRDefault="001C56EB">
            <w:r w:rsidRPr="001C56EB">
              <w:t>Total Net Capacity</w:t>
            </w:r>
          </w:p>
        </w:tc>
        <w:tc>
          <w:tcPr>
            <w:tcW w:w="992" w:type="dxa"/>
            <w:tcBorders>
              <w:top w:val="single" w:sz="4" w:space="0" w:color="auto"/>
              <w:left w:val="single" w:sz="4" w:space="0" w:color="auto"/>
              <w:bottom w:val="single" w:sz="4" w:space="0" w:color="auto"/>
              <w:right w:val="single" w:sz="4" w:space="0" w:color="auto"/>
            </w:tcBorders>
            <w:hideMark/>
          </w:tcPr>
          <w:p w:rsidR="001C56EB" w:rsidRPr="001C56EB" w:rsidRDefault="001C56EB">
            <w:r w:rsidRPr="001C56EB">
              <w:t xml:space="preserve">Total on Roll </w:t>
            </w:r>
          </w:p>
        </w:tc>
        <w:tc>
          <w:tcPr>
            <w:tcW w:w="2410" w:type="dxa"/>
            <w:tcBorders>
              <w:top w:val="single" w:sz="4" w:space="0" w:color="auto"/>
              <w:left w:val="single" w:sz="4" w:space="0" w:color="auto"/>
              <w:bottom w:val="single" w:sz="4" w:space="0" w:color="auto"/>
              <w:right w:val="single" w:sz="4" w:space="0" w:color="auto"/>
            </w:tcBorders>
            <w:hideMark/>
          </w:tcPr>
          <w:p w:rsidR="001C56EB" w:rsidRPr="001C56EB" w:rsidRDefault="001C56EB">
            <w:r w:rsidRPr="001C56EB">
              <w:t>Over/Under Capacity by area</w:t>
            </w:r>
          </w:p>
        </w:tc>
      </w:tr>
      <w:tr w:rsidR="001C56EB" w:rsidRPr="001C56EB" w:rsidTr="00E84F2D">
        <w:tc>
          <w:tcPr>
            <w:tcW w:w="1323" w:type="dxa"/>
            <w:tcBorders>
              <w:top w:val="single" w:sz="4" w:space="0" w:color="auto"/>
              <w:left w:val="single" w:sz="4" w:space="0" w:color="auto"/>
              <w:bottom w:val="single" w:sz="4" w:space="0" w:color="auto"/>
              <w:right w:val="single" w:sz="4" w:space="0" w:color="auto"/>
            </w:tcBorders>
            <w:hideMark/>
          </w:tcPr>
          <w:p w:rsidR="001C56EB" w:rsidRPr="001C56EB" w:rsidRDefault="001C56EB">
            <w:r w:rsidRPr="001C56EB">
              <w:t>Totals</w:t>
            </w:r>
          </w:p>
        </w:tc>
        <w:tc>
          <w:tcPr>
            <w:tcW w:w="1229" w:type="dxa"/>
            <w:tcBorders>
              <w:top w:val="single" w:sz="4" w:space="0" w:color="auto"/>
              <w:left w:val="single" w:sz="4" w:space="0" w:color="auto"/>
              <w:bottom w:val="single" w:sz="4" w:space="0" w:color="auto"/>
              <w:right w:val="single" w:sz="4" w:space="0" w:color="auto"/>
            </w:tcBorders>
          </w:tcPr>
          <w:p w:rsidR="001C56EB" w:rsidRPr="001C56EB" w:rsidRDefault="001C56EB"/>
        </w:tc>
        <w:tc>
          <w:tcPr>
            <w:tcW w:w="993" w:type="dxa"/>
            <w:tcBorders>
              <w:top w:val="single" w:sz="4" w:space="0" w:color="auto"/>
              <w:left w:val="single" w:sz="4" w:space="0" w:color="auto"/>
              <w:bottom w:val="single" w:sz="4" w:space="0" w:color="auto"/>
              <w:right w:val="single" w:sz="4" w:space="0" w:color="auto"/>
            </w:tcBorders>
          </w:tcPr>
          <w:p w:rsidR="001C56EB" w:rsidRPr="001C56EB" w:rsidRDefault="001C56EB"/>
        </w:tc>
        <w:tc>
          <w:tcPr>
            <w:tcW w:w="1701" w:type="dxa"/>
            <w:tcBorders>
              <w:top w:val="single" w:sz="4" w:space="0" w:color="auto"/>
              <w:left w:val="single" w:sz="4" w:space="0" w:color="auto"/>
              <w:bottom w:val="single" w:sz="4" w:space="0" w:color="auto"/>
              <w:right w:val="single" w:sz="4" w:space="0" w:color="auto"/>
            </w:tcBorders>
          </w:tcPr>
          <w:p w:rsidR="001C56EB" w:rsidRPr="001C56EB" w:rsidRDefault="001C56EB"/>
        </w:tc>
        <w:tc>
          <w:tcPr>
            <w:tcW w:w="1417" w:type="dxa"/>
            <w:tcBorders>
              <w:top w:val="single" w:sz="4" w:space="0" w:color="auto"/>
              <w:left w:val="single" w:sz="4" w:space="0" w:color="auto"/>
              <w:bottom w:val="single" w:sz="4" w:space="0" w:color="auto"/>
              <w:right w:val="single" w:sz="4" w:space="0" w:color="auto"/>
            </w:tcBorders>
          </w:tcPr>
          <w:p w:rsidR="001C56EB" w:rsidRPr="001C56EB" w:rsidRDefault="001C56EB"/>
        </w:tc>
        <w:tc>
          <w:tcPr>
            <w:tcW w:w="992" w:type="dxa"/>
            <w:tcBorders>
              <w:top w:val="single" w:sz="4" w:space="0" w:color="auto"/>
              <w:left w:val="single" w:sz="4" w:space="0" w:color="auto"/>
              <w:bottom w:val="single" w:sz="4" w:space="0" w:color="auto"/>
              <w:right w:val="single" w:sz="4" w:space="0" w:color="auto"/>
            </w:tcBorders>
          </w:tcPr>
          <w:p w:rsidR="001C56EB" w:rsidRPr="001C56EB" w:rsidRDefault="001C56EB"/>
        </w:tc>
        <w:tc>
          <w:tcPr>
            <w:tcW w:w="2410" w:type="dxa"/>
            <w:tcBorders>
              <w:top w:val="single" w:sz="4" w:space="0" w:color="auto"/>
              <w:left w:val="single" w:sz="4" w:space="0" w:color="auto"/>
              <w:bottom w:val="single" w:sz="4" w:space="0" w:color="auto"/>
              <w:right w:val="single" w:sz="4" w:space="0" w:color="auto"/>
            </w:tcBorders>
          </w:tcPr>
          <w:p w:rsidR="001C56EB" w:rsidRPr="001C56EB" w:rsidRDefault="001C56EB"/>
        </w:tc>
      </w:tr>
      <w:tr w:rsidR="001C56EB" w:rsidRPr="001C56EB" w:rsidTr="00E84F2D">
        <w:tc>
          <w:tcPr>
            <w:tcW w:w="1323" w:type="dxa"/>
            <w:tcBorders>
              <w:top w:val="single" w:sz="4" w:space="0" w:color="auto"/>
              <w:left w:val="single" w:sz="4" w:space="0" w:color="auto"/>
              <w:bottom w:val="single" w:sz="4" w:space="0" w:color="auto"/>
              <w:right w:val="single" w:sz="4" w:space="0" w:color="auto"/>
            </w:tcBorders>
            <w:hideMark/>
          </w:tcPr>
          <w:p w:rsidR="001C56EB" w:rsidRPr="001C56EB" w:rsidRDefault="001C56EB">
            <w:r w:rsidRPr="001C56EB">
              <w:t>Burnley</w:t>
            </w:r>
          </w:p>
        </w:tc>
        <w:tc>
          <w:tcPr>
            <w:tcW w:w="1229" w:type="dxa"/>
            <w:tcBorders>
              <w:top w:val="single" w:sz="4" w:space="0" w:color="auto"/>
              <w:left w:val="single" w:sz="4" w:space="0" w:color="auto"/>
              <w:bottom w:val="single" w:sz="4" w:space="0" w:color="auto"/>
              <w:right w:val="single" w:sz="4" w:space="0" w:color="auto"/>
            </w:tcBorders>
            <w:hideMark/>
          </w:tcPr>
          <w:p w:rsidR="001C56EB" w:rsidRPr="001C56EB" w:rsidRDefault="001C56EB">
            <w:r w:rsidRPr="001C56EB">
              <w:t>5</w:t>
            </w:r>
          </w:p>
        </w:tc>
        <w:tc>
          <w:tcPr>
            <w:tcW w:w="993" w:type="dxa"/>
            <w:tcBorders>
              <w:top w:val="single" w:sz="4" w:space="0" w:color="auto"/>
              <w:left w:val="single" w:sz="4" w:space="0" w:color="auto"/>
              <w:bottom w:val="single" w:sz="4" w:space="0" w:color="auto"/>
              <w:right w:val="single" w:sz="4" w:space="0" w:color="auto"/>
            </w:tcBorders>
            <w:hideMark/>
          </w:tcPr>
          <w:p w:rsidR="001C56EB" w:rsidRPr="001C56EB" w:rsidRDefault="001C56EB">
            <w:r w:rsidRPr="001C56EB">
              <w:t>May 2013</w:t>
            </w:r>
          </w:p>
        </w:tc>
        <w:tc>
          <w:tcPr>
            <w:tcW w:w="1701" w:type="dxa"/>
            <w:tcBorders>
              <w:top w:val="single" w:sz="4" w:space="0" w:color="auto"/>
              <w:left w:val="single" w:sz="4" w:space="0" w:color="auto"/>
              <w:bottom w:val="single" w:sz="4" w:space="0" w:color="auto"/>
              <w:right w:val="single" w:sz="4" w:space="0" w:color="auto"/>
            </w:tcBorders>
            <w:hideMark/>
          </w:tcPr>
          <w:p w:rsidR="001C56EB" w:rsidRPr="001C56EB" w:rsidRDefault="001C56EB">
            <w:r w:rsidRPr="001C56EB">
              <w:t>1,030</w:t>
            </w:r>
          </w:p>
        </w:tc>
        <w:tc>
          <w:tcPr>
            <w:tcW w:w="1417" w:type="dxa"/>
            <w:tcBorders>
              <w:top w:val="single" w:sz="4" w:space="0" w:color="auto"/>
              <w:left w:val="single" w:sz="4" w:space="0" w:color="auto"/>
              <w:bottom w:val="single" w:sz="4" w:space="0" w:color="auto"/>
              <w:right w:val="single" w:sz="4" w:space="0" w:color="auto"/>
            </w:tcBorders>
            <w:hideMark/>
          </w:tcPr>
          <w:p w:rsidR="001C56EB" w:rsidRPr="001C56EB" w:rsidRDefault="001C56EB">
            <w:r w:rsidRPr="001C56EB">
              <w:t>5,195</w:t>
            </w:r>
          </w:p>
        </w:tc>
        <w:tc>
          <w:tcPr>
            <w:tcW w:w="992" w:type="dxa"/>
            <w:tcBorders>
              <w:top w:val="single" w:sz="4" w:space="0" w:color="auto"/>
              <w:left w:val="single" w:sz="4" w:space="0" w:color="auto"/>
              <w:bottom w:val="single" w:sz="4" w:space="0" w:color="auto"/>
              <w:right w:val="single" w:sz="4" w:space="0" w:color="auto"/>
            </w:tcBorders>
            <w:hideMark/>
          </w:tcPr>
          <w:p w:rsidR="001C56EB" w:rsidRPr="001C56EB" w:rsidRDefault="001C56EB">
            <w:r w:rsidRPr="001C56EB">
              <w:t>4,438</w:t>
            </w:r>
          </w:p>
        </w:tc>
        <w:tc>
          <w:tcPr>
            <w:tcW w:w="2410" w:type="dxa"/>
            <w:tcBorders>
              <w:top w:val="single" w:sz="4" w:space="0" w:color="auto"/>
              <w:left w:val="single" w:sz="4" w:space="0" w:color="auto"/>
              <w:bottom w:val="single" w:sz="4" w:space="0" w:color="auto"/>
              <w:right w:val="single" w:sz="4" w:space="0" w:color="auto"/>
            </w:tcBorders>
            <w:hideMark/>
          </w:tcPr>
          <w:p w:rsidR="001C56EB" w:rsidRPr="001C56EB" w:rsidRDefault="001C56EB">
            <w:r w:rsidRPr="001C56EB">
              <w:t>757 surplus places</w:t>
            </w:r>
          </w:p>
        </w:tc>
      </w:tr>
      <w:tr w:rsidR="001C56EB" w:rsidRPr="001C56EB" w:rsidTr="00E84F2D">
        <w:tc>
          <w:tcPr>
            <w:tcW w:w="1323" w:type="dxa"/>
            <w:tcBorders>
              <w:top w:val="single" w:sz="4" w:space="0" w:color="auto"/>
              <w:left w:val="single" w:sz="4" w:space="0" w:color="auto"/>
              <w:bottom w:val="single" w:sz="4" w:space="0" w:color="auto"/>
              <w:right w:val="single" w:sz="4" w:space="0" w:color="auto"/>
            </w:tcBorders>
          </w:tcPr>
          <w:p w:rsidR="001C56EB" w:rsidRPr="001C56EB" w:rsidRDefault="001C56EB"/>
        </w:tc>
        <w:tc>
          <w:tcPr>
            <w:tcW w:w="1229" w:type="dxa"/>
            <w:tcBorders>
              <w:top w:val="single" w:sz="4" w:space="0" w:color="auto"/>
              <w:left w:val="single" w:sz="4" w:space="0" w:color="auto"/>
              <w:bottom w:val="single" w:sz="4" w:space="0" w:color="auto"/>
              <w:right w:val="single" w:sz="4" w:space="0" w:color="auto"/>
            </w:tcBorders>
            <w:hideMark/>
          </w:tcPr>
          <w:p w:rsidR="001C56EB" w:rsidRPr="001C56EB" w:rsidRDefault="001C56EB">
            <w:r w:rsidRPr="001C56EB">
              <w:t>(plus UTC and pending free school not yet included in these figures)</w:t>
            </w:r>
          </w:p>
        </w:tc>
        <w:tc>
          <w:tcPr>
            <w:tcW w:w="993" w:type="dxa"/>
            <w:tcBorders>
              <w:top w:val="single" w:sz="4" w:space="0" w:color="auto"/>
              <w:left w:val="single" w:sz="4" w:space="0" w:color="auto"/>
              <w:bottom w:val="single" w:sz="4" w:space="0" w:color="auto"/>
              <w:right w:val="single" w:sz="4" w:space="0" w:color="auto"/>
            </w:tcBorders>
            <w:hideMark/>
          </w:tcPr>
          <w:p w:rsidR="001C56EB" w:rsidRPr="001C56EB" w:rsidRDefault="001C56EB">
            <w:r w:rsidRPr="001C56EB">
              <w:t xml:space="preserve">Jan </w:t>
            </w:r>
          </w:p>
          <w:p w:rsidR="001C56EB" w:rsidRPr="001C56EB" w:rsidRDefault="001C56EB">
            <w:r w:rsidRPr="001C56EB">
              <w:t>2018</w:t>
            </w:r>
          </w:p>
        </w:tc>
        <w:tc>
          <w:tcPr>
            <w:tcW w:w="1701" w:type="dxa"/>
            <w:tcBorders>
              <w:top w:val="single" w:sz="4" w:space="0" w:color="auto"/>
              <w:left w:val="single" w:sz="4" w:space="0" w:color="auto"/>
              <w:bottom w:val="single" w:sz="4" w:space="0" w:color="auto"/>
              <w:right w:val="single" w:sz="4" w:space="0" w:color="auto"/>
            </w:tcBorders>
            <w:hideMark/>
          </w:tcPr>
          <w:p w:rsidR="001C56EB" w:rsidRPr="001C56EB" w:rsidRDefault="001C56EB">
            <w:r w:rsidRPr="001C56EB">
              <w:t>1,030</w:t>
            </w:r>
          </w:p>
        </w:tc>
        <w:tc>
          <w:tcPr>
            <w:tcW w:w="1417" w:type="dxa"/>
            <w:tcBorders>
              <w:top w:val="single" w:sz="4" w:space="0" w:color="auto"/>
              <w:left w:val="single" w:sz="4" w:space="0" w:color="auto"/>
              <w:bottom w:val="single" w:sz="4" w:space="0" w:color="auto"/>
              <w:right w:val="single" w:sz="4" w:space="0" w:color="auto"/>
            </w:tcBorders>
            <w:hideMark/>
          </w:tcPr>
          <w:p w:rsidR="001C56EB" w:rsidRPr="001C56EB" w:rsidRDefault="001C56EB">
            <w:r w:rsidRPr="001C56EB">
              <w:t>5,195</w:t>
            </w:r>
          </w:p>
        </w:tc>
        <w:tc>
          <w:tcPr>
            <w:tcW w:w="992" w:type="dxa"/>
            <w:tcBorders>
              <w:top w:val="single" w:sz="4" w:space="0" w:color="auto"/>
              <w:left w:val="single" w:sz="4" w:space="0" w:color="auto"/>
              <w:bottom w:val="single" w:sz="4" w:space="0" w:color="auto"/>
              <w:right w:val="single" w:sz="4" w:space="0" w:color="auto"/>
            </w:tcBorders>
            <w:hideMark/>
          </w:tcPr>
          <w:p w:rsidR="001C56EB" w:rsidRPr="001C56EB" w:rsidRDefault="001C56EB">
            <w:r w:rsidRPr="001C56EB">
              <w:t>4,351</w:t>
            </w:r>
          </w:p>
        </w:tc>
        <w:tc>
          <w:tcPr>
            <w:tcW w:w="2410" w:type="dxa"/>
            <w:tcBorders>
              <w:top w:val="single" w:sz="4" w:space="0" w:color="auto"/>
              <w:left w:val="single" w:sz="4" w:space="0" w:color="auto"/>
              <w:bottom w:val="single" w:sz="4" w:space="0" w:color="auto"/>
              <w:right w:val="single" w:sz="4" w:space="0" w:color="auto"/>
            </w:tcBorders>
            <w:hideMark/>
          </w:tcPr>
          <w:p w:rsidR="001C56EB" w:rsidRPr="001C56EB" w:rsidRDefault="001C56EB">
            <w:r w:rsidRPr="001C56EB">
              <w:t>844 surplus places</w:t>
            </w:r>
          </w:p>
        </w:tc>
      </w:tr>
    </w:tbl>
    <w:p w:rsidR="001C56EB" w:rsidRPr="001C56EB" w:rsidRDefault="001C56EB" w:rsidP="001C56EB">
      <w:pPr>
        <w:rPr>
          <w:b w:val="0"/>
        </w:rPr>
      </w:pPr>
    </w:p>
    <w:p w:rsidR="001C56EB" w:rsidRPr="001C56EB" w:rsidRDefault="001C56EB" w:rsidP="001C56EB">
      <w:pPr>
        <w:rPr>
          <w:b w:val="0"/>
        </w:rPr>
      </w:pPr>
      <w:r w:rsidRPr="001C56EB">
        <w:rPr>
          <w:b w:val="0"/>
        </w:rPr>
        <w:t>Falling numbers in the secondary sector reach their lowest position in 2016 before starting to rise in line with the higher numbers in primary schools.</w:t>
      </w:r>
    </w:p>
    <w:p w:rsidR="001C56EB" w:rsidRPr="001C56EB" w:rsidRDefault="001C56EB" w:rsidP="001C56EB">
      <w:pPr>
        <w:rPr>
          <w:b w:val="0"/>
        </w:rPr>
      </w:pPr>
      <w:r w:rsidRPr="001C56EB">
        <w:rPr>
          <w:b w:val="0"/>
        </w:rPr>
        <w:t>By 2023, surplus could reduce to around 200 places. However, this will depend upon levels of migration and future levels of housing development beyond 2018.</w:t>
      </w:r>
    </w:p>
    <w:p w:rsidR="001C56EB" w:rsidRPr="001C56EB" w:rsidRDefault="001C56EB" w:rsidP="001C56EB">
      <w:pPr>
        <w:rPr>
          <w:b w:val="0"/>
        </w:rPr>
      </w:pPr>
      <w:r w:rsidRPr="001C56EB">
        <w:rPr>
          <w:b w:val="0"/>
        </w:rPr>
        <w:t>Another factor to consider in Burnley is the possibility of a new free school. If the Burnley High School opens in 2014, as proposed, this will retain surplus in the system.</w:t>
      </w:r>
    </w:p>
    <w:p w:rsidR="001C56EB" w:rsidRPr="001C56EB" w:rsidRDefault="001C56EB" w:rsidP="001C56EB">
      <w:pPr>
        <w:rPr>
          <w:b w:val="0"/>
        </w:rPr>
      </w:pPr>
      <w:r w:rsidRPr="001C56EB">
        <w:rPr>
          <w:b w:val="0"/>
        </w:rPr>
        <w:t>The impact of Burnley UTC is also being monitored as it is expected that this will also increase surplus in the area.</w:t>
      </w:r>
    </w:p>
    <w:sectPr w:rsidR="001C56EB" w:rsidRPr="001C56EB" w:rsidSect="00E84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41"/>
  <w:characterSpacingControl w:val="doNotCompress"/>
  <w:compat>
    <w:compatSetting w:name="compatibilityMode" w:uri="http://schemas.microsoft.com/office/word" w:val="12"/>
  </w:compat>
  <w:rsids>
    <w:rsidRoot w:val="004B537E"/>
    <w:rsid w:val="0001269F"/>
    <w:rsid w:val="00017AB6"/>
    <w:rsid w:val="000211D9"/>
    <w:rsid w:val="00092CA6"/>
    <w:rsid w:val="000E53CE"/>
    <w:rsid w:val="00102484"/>
    <w:rsid w:val="001057E9"/>
    <w:rsid w:val="00167013"/>
    <w:rsid w:val="001B7A1F"/>
    <w:rsid w:val="001C56EB"/>
    <w:rsid w:val="00342419"/>
    <w:rsid w:val="003445E8"/>
    <w:rsid w:val="00426982"/>
    <w:rsid w:val="00436186"/>
    <w:rsid w:val="004B537E"/>
    <w:rsid w:val="004C3C79"/>
    <w:rsid w:val="004E79B5"/>
    <w:rsid w:val="00511ABB"/>
    <w:rsid w:val="00531CBD"/>
    <w:rsid w:val="00557AD0"/>
    <w:rsid w:val="00557C45"/>
    <w:rsid w:val="00573267"/>
    <w:rsid w:val="00657999"/>
    <w:rsid w:val="00761D01"/>
    <w:rsid w:val="0078354C"/>
    <w:rsid w:val="007E18AA"/>
    <w:rsid w:val="00802268"/>
    <w:rsid w:val="00832AAC"/>
    <w:rsid w:val="008742D9"/>
    <w:rsid w:val="008C14D2"/>
    <w:rsid w:val="008E0031"/>
    <w:rsid w:val="008F462F"/>
    <w:rsid w:val="00997DC0"/>
    <w:rsid w:val="009E2FCD"/>
    <w:rsid w:val="00A61BA5"/>
    <w:rsid w:val="00A61D5E"/>
    <w:rsid w:val="00A77B14"/>
    <w:rsid w:val="00AA6C2A"/>
    <w:rsid w:val="00B27935"/>
    <w:rsid w:val="00B51C45"/>
    <w:rsid w:val="00B603E3"/>
    <w:rsid w:val="00BA0EAF"/>
    <w:rsid w:val="00C47984"/>
    <w:rsid w:val="00CB084C"/>
    <w:rsid w:val="00CF0012"/>
    <w:rsid w:val="00D4207E"/>
    <w:rsid w:val="00DB5989"/>
    <w:rsid w:val="00E32915"/>
    <w:rsid w:val="00E550F7"/>
    <w:rsid w:val="00E84F2D"/>
    <w:rsid w:val="00EE24FD"/>
    <w:rsid w:val="00FA4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537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0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tritchie001</dc:creator>
  <cp:keywords/>
  <dc:description/>
  <cp:lastModifiedBy>Neville, Mike</cp:lastModifiedBy>
  <cp:revision>8</cp:revision>
  <dcterms:created xsi:type="dcterms:W3CDTF">2013-11-04T11:17:00Z</dcterms:created>
  <dcterms:modified xsi:type="dcterms:W3CDTF">2013-11-08T12:06:00Z</dcterms:modified>
</cp:coreProperties>
</file>